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7A34BE-77BF-4BE9-9087-04F114110A4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